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8eb98fd8a4b1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2942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INSTITUT ZA POVIJEST UMJETNOSTI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2.191.080,41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4.055.809,53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2.320.598,73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2.865.442,46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1.212.053,32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71.162,77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86.739,31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71.162,77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86.739,31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1.125.314,01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Poslovni prihodi ukupno iznose 4.055.809,53 eura. Ostvareno je 85,1% više u odnosu na prethodnu godinu. Šifra 63: Pomoći iz inozemstva i od subjekata unutar općeg proračuna iznose 1.560.585,39 eura, ostvarenje indeksa je 428,5%. Financirano prihodima proračuna Grada Zagreba i Splita, prihodima međunarodnih organizacija (za projekte Cost i OBZOR EUROPA – MSCA, te ERC projekt na 6323 Potpore od tijela EU u iznosu od 1.422.262,80 eura. Šifra 66: Prihodi od prodaje i pruženih usluga 628.255,92 eura, indeks ostvarenja je 116,7%, što predstavlja povećanje u odnosu na prethodnu godinu. Razlika se odnosi na prikupljanje EKP e-konzervatorske građe po ugovorima s Ministarstvom kulture i medija u 2025. (dva nova ugovora). Šifra 6631 Donacije ostvarene 1.600,00 eura od Zaklade HAZU. Šifra 67: Prihodi iz nadležnog proračuna, ostvareni prihodi 1.865.606,95 eura, indeks povećanja je 21,4%. Povećanje se može pripisati realizaciji osnovne komponente programskog ugovora, koja uključuje plaće i poslovanje Instituta, financirano iz nadležnog državni proračun. Ova pozicija također uključuje sredstva za razvojnu komponentu i sredstva za provedbu institucionalnih projekata (izvršna komponenta), koja je financirana iz Mehanizma za oporavak i otpornost u 2025. godini, iznosila je 97.454,80 EUR.</w:t>
      </w:r>
    </w:p>
    <w:p>
      <w:r>
        <w:t xml:space="preserve"> </w:t>
      </w:r>
    </w:p>
    <w:p>
      <w:r>
        <w:t xml:space="preserve">Ukupni poslovni rashodi iznose 2.930.495,52 eura, što je povećanje od 23,5% u odnosu na prethodno razdoblje. Na povećanje je utjecalo povećanje rashoda za zaposlenike za 24,1% zbog povećanja plaća u javnim službama i zapošljavanja novih zaposlenika. </w:t>
      </w:r>
    </w:p>
    <w:p>
      <w:r>
        <w:t xml:space="preserve"> </w:t>
      </w:r>
    </w:p>
    <w:p>
      <w:r>
        <w:t xml:space="preserve">Rezultat zapošljavanja koda X006 iznosi 1.491.021,22 eura. Na poslovni rezultat i njegov drastičan porast utjecala su sredstva primljena od EU za projekt ERC Housing YU zabilježena u izvješću EU, izvor 510.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2.191.080,41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4.055.809,53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185,1</w:t>
            </w:r>
          </w:p>
        </w:tc>
      </w:tr>
    </w:tbl>
    <w:p>
      <w:pPr>
        <w:spacing w:before="0" w:after="0"/>
      </w:pPr>
    </w:p>
    <w:p>
      <w:r>
        <w:t xml:space="preserve">Povećanje prihoda u odnosu na prethodno razdoblje odnosi se na prihode EU u iznosu 1.422.262,80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2.320.598,73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2.865.442,46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123,5</w:t>
            </w:r>
          </w:p>
        </w:tc>
      </w:tr>
    </w:tbl>
    <w:p>
      <w:pPr>
        <w:spacing w:before="0" w:after="0"/>
      </w:pPr>
    </w:p>
    <w:p>
      <w:r>
        <w:t xml:space="preserve">Ukupni rashodi povećani su zbog projekta ERC Housing YU. Sredstva su utrošena u skladu s propisima EU za plaće zaposlenika na projektu, kao i materijalna prava zaposlenika i službena putovanja.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369.488,05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1.491.021,22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403,5</w:t>
            </w:r>
          </w:p>
        </w:tc>
      </w:tr>
    </w:tbl>
    <w:p>
      <w:pPr>
        <w:spacing w:before="0" w:after="0"/>
      </w:pPr>
    </w:p>
    <w:p>
      <w:r>
        <w:t xml:space="preserve">Rezultat zapošljavanja koda X006 iznosi 1.491.021,22 eura. Na poslovni rezultat i njegov drastičan porast utjecala su sredstva primljena od EU za projekt ERC Housing YU zabilježena u izvješću EU, izvor 510.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(šifre 1111 do 1114)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232.857,75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1.489.509,40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639,7</w:t>
            </w:r>
          </w:p>
        </w:tc>
      </w:tr>
    </w:tbl>
    <w:p>
      <w:pPr>
        <w:spacing w:before="0" w:after="0"/>
      </w:pPr>
    </w:p>
    <w:p>
      <w:r>
        <w:t xml:space="preserve">Značajno povećanje pozicije 111 Novac na žiro računu zbog sredstava dobivenih od EU za projekt ERC Housing YU.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Istraživanje i razvoj rekreacije, kulture i religije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2.365.775,45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2.930.495,52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123,9</w:t>
            </w:r>
          </w:p>
        </w:tc>
      </w:tr>
    </w:tbl>
    <w:p>
      <w:pPr>
        <w:spacing w:before="0" w:after="0"/>
      </w:pPr>
    </w:p>
    <w:p>
      <w:r>
        <w:t xml:space="preserve">U ovaj izvještaj unosi se iznos rashoda prema funkcijskoj klasifikaciji. Ukupni rashodi (iz izvještaja PR-RAS) uneseni su pod šifru 085 Istraživanje i razvoj rekreacije, kulture i religije u iznosu od 2.930.495,52 eura i veći su za 23% u odnosu na prethodno razdoblje.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71.461,01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dugotrajne imovine u iznosu od 71.461,01 eura posjedica je redovne amortizacije/ispravka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nefinancijske imovine (šifre P017 do P022)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Povećanje nefinancijske imovine nastalo je zbog dobivenih knjiga na poklon (međuknjižnična razmjena), knjižena vrijednost imovine arhivske građe (elaborati, fototeka i planoteka) nastale u 2025. koja je procijenjena po 0,13 EUR po jedinici.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181.355,77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Ukupne obveze na dan bilance 31.12.2025. iznosile su 181.355,77 EUR odnose se na: obveze za zaposlene u iznosu od 166.263,18 EUR odnosno plaću za prosinac 2025. godine koja je isplaćena 12. siječnja 2026.godine i materijalna prava za zaposlene, obveze za materijalne rashode 14.227,05 EUR, obveze za financijske rashode u iznosu 257,68 EU, obveze za predujmove, depozite, primljene jamčevine i ostale nespomenute obveze – bolovanje iz ranijih godina i tekuće godine 234,05 EUR, obveze za nabavu proizvedene dugotrajne imovine 120,17 EUR. Obveze za materijalne rashode (režije i usluge) plaćene su u siječnju 2026.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Bolovanje na trošak HZZO-a., sredstva koja nisu refundirana.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Ukupni prihodi EU iznosili su 1.519.717,60 eura, dio od 1.422.262,80 eura odnosi se na projekt ERC Housing YU, dok se 97.454,80 eura odnosi na sredstva Mehanizma za oporavak i otpornosti u 2025. godini. </w:t>
      </w:r>
    </w:p>
    <w:p>
      <w:r>
        <w:t xml:space="preserve">Ukupni rashodi na projektu ERC Housing YU iznose 168.037,90 eura, sredstva su utrošena u skladu s EU propisima za plaće zaposlenika na projektu, kao i materijalna prava zaposlenika i službena putovanja. Ukupni rashodi Mehanizma za oporavak i otpornost iznosili su 108.053,09 eura.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6fb5cc7ab14b05" /></Relationships>
</file>